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1" w:rsidRDefault="00A76167" w:rsidP="00A76167">
      <w:pPr>
        <w:jc w:val="right"/>
        <w:rPr>
          <w:sz w:val="48"/>
        </w:rPr>
      </w:pPr>
      <w:r>
        <w:rPr>
          <w:noProof/>
          <w:sz w:val="48"/>
        </w:rPr>
        <w:drawing>
          <wp:inline distT="0" distB="0" distL="0" distR="0">
            <wp:extent cx="1164303" cy="9880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835" cy="991863"/>
                    </a:xfrm>
                    <a:prstGeom prst="rect">
                      <a:avLst/>
                    </a:prstGeom>
                  </pic:spPr>
                </pic:pic>
              </a:graphicData>
            </a:graphic>
          </wp:inline>
        </w:drawing>
      </w:r>
    </w:p>
    <w:tbl>
      <w:tblPr>
        <w:tblStyle w:val="GridTableLight"/>
        <w:tblW w:w="0" w:type="auto"/>
        <w:tblLook w:val="04A0" w:firstRow="1" w:lastRow="0" w:firstColumn="1" w:lastColumn="0" w:noHBand="0" w:noVBand="1"/>
      </w:tblPr>
      <w:tblGrid>
        <w:gridCol w:w="1456"/>
        <w:gridCol w:w="624"/>
        <w:gridCol w:w="1568"/>
        <w:gridCol w:w="996"/>
        <w:gridCol w:w="3384"/>
        <w:gridCol w:w="1167"/>
        <w:gridCol w:w="1821"/>
      </w:tblGrid>
      <w:tr w:rsidR="002F5EB1" w:rsidTr="002A204D">
        <w:tc>
          <w:tcPr>
            <w:tcW w:w="11016" w:type="dxa"/>
            <w:gridSpan w:val="7"/>
          </w:tcPr>
          <w:p w:rsidR="002F5EB1" w:rsidRDefault="00B80EC3" w:rsidP="002F5EB1">
            <w:pPr>
              <w:jc w:val="center"/>
              <w:rPr>
                <w:sz w:val="48"/>
              </w:rPr>
            </w:pPr>
            <w:r>
              <w:rPr>
                <w:sz w:val="48"/>
              </w:rPr>
              <w:t>Tools for Tenants</w:t>
            </w:r>
          </w:p>
          <w:p w:rsidR="002F5EB1" w:rsidRDefault="002F5EB1" w:rsidP="002F5EB1">
            <w:pPr>
              <w:jc w:val="center"/>
              <w:rPr>
                <w:i/>
                <w:sz w:val="24"/>
                <w:szCs w:val="24"/>
              </w:rPr>
            </w:pPr>
          </w:p>
        </w:tc>
      </w:tr>
      <w:tr w:rsidR="002F5EB1" w:rsidTr="00E16E56">
        <w:trPr>
          <w:trHeight w:val="1025"/>
        </w:trPr>
        <w:tc>
          <w:tcPr>
            <w:tcW w:w="1456" w:type="dxa"/>
          </w:tcPr>
          <w:p w:rsidR="002F5EB1" w:rsidRPr="00AC02F9" w:rsidRDefault="002F5EB1" w:rsidP="002A204D">
            <w:pPr>
              <w:rPr>
                <w:b/>
                <w:sz w:val="24"/>
                <w:szCs w:val="24"/>
              </w:rPr>
            </w:pPr>
            <w:r w:rsidRPr="00AC02F9">
              <w:rPr>
                <w:b/>
                <w:sz w:val="24"/>
                <w:szCs w:val="24"/>
              </w:rPr>
              <w:t>Component:</w:t>
            </w:r>
          </w:p>
        </w:tc>
        <w:tc>
          <w:tcPr>
            <w:tcW w:w="2192" w:type="dxa"/>
            <w:gridSpan w:val="2"/>
          </w:tcPr>
          <w:p w:rsidR="002F5EB1" w:rsidRPr="00AE5EB1" w:rsidRDefault="00213F76" w:rsidP="002A204D">
            <w:pPr>
              <w:jc w:val="center"/>
              <w:rPr>
                <w:i/>
                <w:sz w:val="24"/>
                <w:szCs w:val="24"/>
              </w:rPr>
            </w:pPr>
            <w:r>
              <w:rPr>
                <w:i/>
                <w:sz w:val="24"/>
                <w:szCs w:val="24"/>
              </w:rPr>
              <w:t>CRS</w:t>
            </w:r>
          </w:p>
        </w:tc>
        <w:tc>
          <w:tcPr>
            <w:tcW w:w="996" w:type="dxa"/>
          </w:tcPr>
          <w:p w:rsidR="002F5EB1" w:rsidRPr="00AE5EB1" w:rsidRDefault="002F5EB1" w:rsidP="002A204D">
            <w:pPr>
              <w:jc w:val="center"/>
              <w:rPr>
                <w:i/>
                <w:sz w:val="24"/>
                <w:szCs w:val="24"/>
              </w:rPr>
            </w:pPr>
            <w:r w:rsidRPr="00AC02F9">
              <w:rPr>
                <w:b/>
                <w:sz w:val="24"/>
                <w:szCs w:val="24"/>
              </w:rPr>
              <w:t>Service:</w:t>
            </w:r>
          </w:p>
        </w:tc>
        <w:tc>
          <w:tcPr>
            <w:tcW w:w="3384" w:type="dxa"/>
          </w:tcPr>
          <w:p w:rsidR="002F5EB1" w:rsidRPr="00AE5EB1" w:rsidRDefault="00661A2D" w:rsidP="002A204D">
            <w:pPr>
              <w:jc w:val="center"/>
              <w:rPr>
                <w:i/>
                <w:sz w:val="24"/>
                <w:szCs w:val="24"/>
              </w:rPr>
            </w:pPr>
            <w:r>
              <w:rPr>
                <w:i/>
                <w:sz w:val="24"/>
                <w:szCs w:val="24"/>
              </w:rPr>
              <w:t>CLE</w:t>
            </w:r>
          </w:p>
        </w:tc>
        <w:tc>
          <w:tcPr>
            <w:tcW w:w="1167" w:type="dxa"/>
          </w:tcPr>
          <w:p w:rsidR="002F5EB1" w:rsidRPr="00AC02F9" w:rsidRDefault="002F5EB1" w:rsidP="002A204D">
            <w:pPr>
              <w:jc w:val="center"/>
              <w:rPr>
                <w:b/>
                <w:sz w:val="24"/>
                <w:szCs w:val="24"/>
              </w:rPr>
            </w:pPr>
            <w:r w:rsidRPr="00AC02F9">
              <w:rPr>
                <w:b/>
                <w:sz w:val="24"/>
                <w:szCs w:val="24"/>
              </w:rPr>
              <w:t>Duration:</w:t>
            </w:r>
          </w:p>
        </w:tc>
        <w:tc>
          <w:tcPr>
            <w:tcW w:w="1821" w:type="dxa"/>
          </w:tcPr>
          <w:p w:rsidR="002F5EB1" w:rsidRPr="009213DA" w:rsidRDefault="00162189" w:rsidP="009213DA">
            <w:pPr>
              <w:spacing w:line="276" w:lineRule="auto"/>
              <w:rPr>
                <w:i/>
                <w:sz w:val="24"/>
                <w:szCs w:val="24"/>
              </w:rPr>
            </w:pPr>
            <w:r>
              <w:rPr>
                <w:b/>
                <w:sz w:val="24"/>
                <w:szCs w:val="24"/>
              </w:rPr>
              <w:t>8</w:t>
            </w:r>
            <w:r w:rsidR="00E16E56" w:rsidRPr="009213DA">
              <w:rPr>
                <w:b/>
                <w:sz w:val="24"/>
                <w:szCs w:val="24"/>
              </w:rPr>
              <w:t xml:space="preserve"> </w:t>
            </w:r>
            <w:r w:rsidR="004F6B1D" w:rsidRPr="009213DA">
              <w:rPr>
                <w:b/>
                <w:sz w:val="24"/>
                <w:szCs w:val="24"/>
              </w:rPr>
              <w:t xml:space="preserve"># of </w:t>
            </w:r>
            <w:r w:rsidR="00E16E56" w:rsidRPr="009213DA">
              <w:rPr>
                <w:b/>
                <w:sz w:val="24"/>
                <w:szCs w:val="24"/>
              </w:rPr>
              <w:t>Session at 45 minutes each</w:t>
            </w:r>
            <w:r w:rsidR="00E16E56" w:rsidRPr="009213DA">
              <w:rPr>
                <w:i/>
                <w:sz w:val="24"/>
                <w:szCs w:val="24"/>
              </w:rPr>
              <w:t>.</w:t>
            </w:r>
          </w:p>
          <w:p w:rsidR="002F5EB1" w:rsidRPr="009213DA" w:rsidRDefault="002F5EB1" w:rsidP="002F5EB1">
            <w:pPr>
              <w:rPr>
                <w:i/>
                <w:sz w:val="24"/>
                <w:szCs w:val="24"/>
              </w:rPr>
            </w:pPr>
          </w:p>
        </w:tc>
      </w:tr>
      <w:tr w:rsidR="002F5EB1" w:rsidTr="002A204D">
        <w:tc>
          <w:tcPr>
            <w:tcW w:w="2080" w:type="dxa"/>
            <w:gridSpan w:val="2"/>
          </w:tcPr>
          <w:p w:rsidR="002F5EB1" w:rsidRPr="00AC02F9" w:rsidRDefault="002F5EB1" w:rsidP="002A204D">
            <w:pPr>
              <w:rPr>
                <w:b/>
                <w:sz w:val="24"/>
                <w:szCs w:val="24"/>
              </w:rPr>
            </w:pPr>
            <w:r w:rsidRPr="00AC02F9">
              <w:rPr>
                <w:b/>
                <w:sz w:val="24"/>
                <w:szCs w:val="24"/>
              </w:rPr>
              <w:t>Service Definition</w:t>
            </w:r>
            <w:r w:rsidR="0033292F">
              <w:rPr>
                <w:b/>
                <w:sz w:val="24"/>
                <w:szCs w:val="24"/>
              </w:rPr>
              <w:t xml:space="preserve"> (per Part 512)</w:t>
            </w:r>
            <w:r w:rsidRPr="00AC02F9">
              <w:rPr>
                <w:b/>
                <w:sz w:val="24"/>
                <w:szCs w:val="24"/>
              </w:rPr>
              <w:t>:</w:t>
            </w:r>
          </w:p>
        </w:tc>
        <w:tc>
          <w:tcPr>
            <w:tcW w:w="8936" w:type="dxa"/>
            <w:gridSpan w:val="5"/>
          </w:tcPr>
          <w:p w:rsidR="002F5EB1" w:rsidRDefault="00661A2D" w:rsidP="001E5EE4">
            <w:pPr>
              <w:jc w:val="both"/>
              <w:rPr>
                <w:i/>
                <w:sz w:val="24"/>
                <w:szCs w:val="24"/>
              </w:rPr>
            </w:pPr>
            <w:r>
              <w:t>Community Living Exploration is a service designe</w:t>
            </w:r>
            <w:bookmarkStart w:id="0" w:name="_GoBack"/>
            <w:bookmarkEnd w:id="0"/>
            <w:r>
              <w:t>d to help an individual understand the demands of specific community life roles, in order to make decisions regarding participation in those roles. Community living exploration services can also be used to help motivate individuals who are not yet exhibiting active interest in more integrated community life roles, by increasing their knowledge of opportunities available in the community. Topics may include, but are not limited to: options for satisfactory experiences with living environments, work or career opportunities, educational opportunities, opportunities to connect to culturally-based community services, and resources for use of leisure time. It is expected that, to the extent possible, these services will be developed in natural community environments.</w:t>
            </w:r>
            <w:r w:rsidR="00162189">
              <w:rPr>
                <w:i/>
                <w:sz w:val="24"/>
                <w:szCs w:val="24"/>
              </w:rPr>
              <w:t xml:space="preserve"> </w:t>
            </w:r>
          </w:p>
          <w:p w:rsidR="001E5EE4" w:rsidRPr="00AE5EB1" w:rsidRDefault="001E5EE4" w:rsidP="001E5EE4">
            <w:pPr>
              <w:jc w:val="both"/>
              <w:rPr>
                <w:i/>
                <w:sz w:val="24"/>
                <w:szCs w:val="24"/>
              </w:rPr>
            </w:pPr>
          </w:p>
        </w:tc>
      </w:tr>
      <w:tr w:rsidR="002F5EB1" w:rsidTr="002A204D">
        <w:tc>
          <w:tcPr>
            <w:tcW w:w="2080" w:type="dxa"/>
            <w:gridSpan w:val="2"/>
          </w:tcPr>
          <w:p w:rsidR="002F5EB1" w:rsidRPr="00AC02F9" w:rsidRDefault="002F5EB1" w:rsidP="002A204D">
            <w:pPr>
              <w:rPr>
                <w:b/>
                <w:sz w:val="24"/>
                <w:szCs w:val="24"/>
              </w:rPr>
            </w:pPr>
            <w:r w:rsidRPr="00AC02F9">
              <w:rPr>
                <w:b/>
                <w:sz w:val="24"/>
                <w:szCs w:val="24"/>
              </w:rPr>
              <w:t>Class Description:</w:t>
            </w:r>
          </w:p>
        </w:tc>
        <w:tc>
          <w:tcPr>
            <w:tcW w:w="8936" w:type="dxa"/>
            <w:gridSpan w:val="5"/>
          </w:tcPr>
          <w:p w:rsidR="002F5EB1" w:rsidRDefault="00213F76" w:rsidP="002F5EB1">
            <w:pPr>
              <w:jc w:val="both"/>
              <w:rPr>
                <w:i/>
                <w:sz w:val="24"/>
                <w:szCs w:val="24"/>
              </w:rPr>
            </w:pPr>
            <w:r>
              <w:rPr>
                <w:i/>
                <w:sz w:val="24"/>
                <w:szCs w:val="24"/>
              </w:rPr>
              <w:t xml:space="preserve">Participants will learn </w:t>
            </w:r>
            <w:r w:rsidR="00B80EC3">
              <w:rPr>
                <w:i/>
                <w:sz w:val="24"/>
                <w:szCs w:val="24"/>
              </w:rPr>
              <w:t>about permanent supportive housing. They will also identify what their preferences are when considering a move to supportive housing.</w:t>
            </w:r>
          </w:p>
          <w:p w:rsidR="002F5EB1" w:rsidRPr="00AC02F9" w:rsidRDefault="002F5EB1" w:rsidP="002F5EB1">
            <w:pPr>
              <w:jc w:val="both"/>
              <w:rPr>
                <w:i/>
                <w:sz w:val="24"/>
                <w:szCs w:val="24"/>
              </w:rPr>
            </w:pPr>
          </w:p>
        </w:tc>
      </w:tr>
      <w:tr w:rsidR="0033292F" w:rsidTr="002A204D">
        <w:tc>
          <w:tcPr>
            <w:tcW w:w="2080" w:type="dxa"/>
            <w:gridSpan w:val="2"/>
          </w:tcPr>
          <w:p w:rsidR="0033292F" w:rsidRPr="00AC02F9" w:rsidRDefault="0033292F" w:rsidP="002A204D">
            <w:pPr>
              <w:rPr>
                <w:b/>
                <w:sz w:val="24"/>
                <w:szCs w:val="24"/>
              </w:rPr>
            </w:pPr>
            <w:r>
              <w:rPr>
                <w:b/>
                <w:sz w:val="24"/>
                <w:szCs w:val="24"/>
              </w:rPr>
              <w:t>Learning Approaches/ Modalities</w:t>
            </w:r>
          </w:p>
        </w:tc>
        <w:tc>
          <w:tcPr>
            <w:tcW w:w="8936" w:type="dxa"/>
            <w:gridSpan w:val="5"/>
          </w:tcPr>
          <w:p w:rsidR="0033292F" w:rsidRDefault="00213F76" w:rsidP="002F5EB1">
            <w:pPr>
              <w:jc w:val="both"/>
              <w:rPr>
                <w:sz w:val="24"/>
                <w:szCs w:val="24"/>
              </w:rPr>
            </w:pPr>
            <w:r>
              <w:rPr>
                <w:sz w:val="24"/>
                <w:szCs w:val="24"/>
              </w:rPr>
              <w:sym w:font="Wingdings" w:char="F06E"/>
            </w:r>
            <w:r w:rsidR="0033292F">
              <w:rPr>
                <w:sz w:val="24"/>
                <w:szCs w:val="24"/>
              </w:rPr>
              <w:t xml:space="preserve"> Lecture   </w:t>
            </w:r>
            <w:r>
              <w:rPr>
                <w:sz w:val="24"/>
                <w:szCs w:val="24"/>
              </w:rPr>
              <w:sym w:font="Wingdings" w:char="F06E"/>
            </w:r>
            <w:r w:rsidR="0033292F">
              <w:rPr>
                <w:sz w:val="24"/>
                <w:szCs w:val="24"/>
              </w:rPr>
              <w:t xml:space="preserve"> Discussion   </w:t>
            </w:r>
            <w:r w:rsidR="0033292F">
              <w:rPr>
                <w:sz w:val="24"/>
                <w:szCs w:val="24"/>
              </w:rPr>
              <w:sym w:font="Wingdings" w:char="F06F"/>
            </w:r>
            <w:r w:rsidR="0033292F">
              <w:rPr>
                <w:sz w:val="24"/>
                <w:szCs w:val="24"/>
              </w:rPr>
              <w:t xml:space="preserve"> Mixed media/ Art-based  </w:t>
            </w:r>
            <w:r w:rsidR="00B80EC3">
              <w:rPr>
                <w:sz w:val="24"/>
                <w:szCs w:val="24"/>
              </w:rPr>
              <w:sym w:font="Wingdings" w:char="F06F"/>
            </w:r>
            <w:r w:rsidR="00B80EC3">
              <w:rPr>
                <w:sz w:val="24"/>
                <w:szCs w:val="24"/>
              </w:rPr>
              <w:sym w:font="Wingdings" w:char="F06E"/>
            </w:r>
            <w:r w:rsidR="0033292F">
              <w:rPr>
                <w:sz w:val="24"/>
                <w:szCs w:val="24"/>
              </w:rPr>
              <w:t xml:space="preserve"> Pen &amp; paper exercises  </w:t>
            </w:r>
          </w:p>
          <w:p w:rsidR="0033292F" w:rsidRDefault="0033292F" w:rsidP="0033292F">
            <w:pPr>
              <w:jc w:val="both"/>
              <w:rPr>
                <w:sz w:val="24"/>
                <w:szCs w:val="24"/>
              </w:rPr>
            </w:pPr>
            <w:r>
              <w:rPr>
                <w:sz w:val="24"/>
                <w:szCs w:val="24"/>
              </w:rPr>
              <w:sym w:font="Wingdings" w:char="F06F"/>
            </w:r>
            <w:r>
              <w:rPr>
                <w:sz w:val="24"/>
                <w:szCs w:val="24"/>
              </w:rPr>
              <w:t xml:space="preserve"> Computer-based interventions   </w:t>
            </w:r>
            <w:r>
              <w:rPr>
                <w:sz w:val="24"/>
                <w:szCs w:val="24"/>
              </w:rPr>
              <w:sym w:font="Wingdings" w:char="F06F"/>
            </w:r>
            <w:r>
              <w:rPr>
                <w:sz w:val="24"/>
                <w:szCs w:val="24"/>
              </w:rPr>
              <w:t xml:space="preserve"> Role</w:t>
            </w:r>
            <w:r w:rsidR="00E16E56">
              <w:rPr>
                <w:sz w:val="24"/>
                <w:szCs w:val="24"/>
              </w:rPr>
              <w:t xml:space="preserve"> </w:t>
            </w:r>
            <w:r>
              <w:rPr>
                <w:sz w:val="24"/>
                <w:szCs w:val="24"/>
              </w:rPr>
              <w:t xml:space="preserve">play interventions  </w:t>
            </w:r>
            <w:r w:rsidR="00B80EC3">
              <w:rPr>
                <w:sz w:val="24"/>
                <w:szCs w:val="24"/>
              </w:rPr>
              <w:sym w:font="Wingdings" w:char="F06F"/>
            </w:r>
            <w:r>
              <w:rPr>
                <w:sz w:val="24"/>
                <w:szCs w:val="24"/>
              </w:rPr>
              <w:t xml:space="preserve"> Modeling/ coaching</w:t>
            </w:r>
          </w:p>
          <w:p w:rsidR="0033292F" w:rsidRDefault="0033292F" w:rsidP="0033292F">
            <w:pPr>
              <w:jc w:val="both"/>
              <w:rPr>
                <w:sz w:val="24"/>
                <w:szCs w:val="24"/>
              </w:rPr>
            </w:pPr>
            <w:r>
              <w:rPr>
                <w:sz w:val="24"/>
                <w:szCs w:val="24"/>
              </w:rPr>
              <w:sym w:font="Wingdings" w:char="F06F"/>
            </w:r>
            <w:r>
              <w:rPr>
                <w:sz w:val="24"/>
                <w:szCs w:val="24"/>
              </w:rPr>
              <w:t xml:space="preserve"> Other: _________________________</w:t>
            </w:r>
          </w:p>
          <w:p w:rsidR="0033292F" w:rsidRPr="0033292F" w:rsidRDefault="0033292F" w:rsidP="0033292F">
            <w:pPr>
              <w:jc w:val="both"/>
              <w:rPr>
                <w:sz w:val="24"/>
                <w:szCs w:val="24"/>
              </w:rPr>
            </w:pPr>
          </w:p>
        </w:tc>
      </w:tr>
      <w:tr w:rsidR="0033292F" w:rsidTr="002A204D">
        <w:tc>
          <w:tcPr>
            <w:tcW w:w="2080" w:type="dxa"/>
            <w:gridSpan w:val="2"/>
          </w:tcPr>
          <w:p w:rsidR="0033292F" w:rsidRDefault="0033292F" w:rsidP="002A204D">
            <w:pPr>
              <w:rPr>
                <w:b/>
                <w:sz w:val="24"/>
                <w:szCs w:val="24"/>
              </w:rPr>
            </w:pPr>
            <w:r>
              <w:rPr>
                <w:b/>
                <w:sz w:val="24"/>
                <w:szCs w:val="24"/>
              </w:rPr>
              <w:t>Location</w:t>
            </w:r>
          </w:p>
        </w:tc>
        <w:tc>
          <w:tcPr>
            <w:tcW w:w="8936" w:type="dxa"/>
            <w:gridSpan w:val="5"/>
          </w:tcPr>
          <w:p w:rsidR="0033292F" w:rsidRDefault="00213F76" w:rsidP="002F5EB1">
            <w:pPr>
              <w:jc w:val="both"/>
              <w:rPr>
                <w:sz w:val="24"/>
                <w:szCs w:val="24"/>
              </w:rPr>
            </w:pPr>
            <w:r>
              <w:rPr>
                <w:sz w:val="24"/>
                <w:szCs w:val="24"/>
              </w:rPr>
              <w:sym w:font="Wingdings" w:char="F06E"/>
            </w:r>
            <w:r w:rsidR="0033292F">
              <w:rPr>
                <w:sz w:val="24"/>
                <w:szCs w:val="24"/>
              </w:rPr>
              <w:t xml:space="preserve"> Site-Based   </w:t>
            </w:r>
            <w:r>
              <w:rPr>
                <w:sz w:val="24"/>
                <w:szCs w:val="24"/>
              </w:rPr>
              <w:sym w:font="Wingdings" w:char="F06E"/>
            </w:r>
            <w:r w:rsidR="00162189">
              <w:rPr>
                <w:sz w:val="24"/>
                <w:szCs w:val="24"/>
              </w:rPr>
              <w:t xml:space="preserve"> Community-Based: </w:t>
            </w:r>
            <w:r w:rsidR="00B80EC3" w:rsidRPr="00B80EC3">
              <w:rPr>
                <w:sz w:val="24"/>
                <w:szCs w:val="24"/>
                <w:u w:val="single"/>
              </w:rPr>
              <w:t>visit to a supportive housing apartment in the community</w:t>
            </w:r>
          </w:p>
          <w:p w:rsidR="0033292F" w:rsidRDefault="0033292F" w:rsidP="002F5EB1">
            <w:pPr>
              <w:jc w:val="both"/>
              <w:rPr>
                <w:sz w:val="24"/>
                <w:szCs w:val="24"/>
              </w:rPr>
            </w:pPr>
          </w:p>
        </w:tc>
      </w:tr>
      <w:tr w:rsidR="00781880" w:rsidTr="002A204D">
        <w:tc>
          <w:tcPr>
            <w:tcW w:w="2080" w:type="dxa"/>
            <w:gridSpan w:val="2"/>
          </w:tcPr>
          <w:p w:rsidR="00781880" w:rsidRDefault="0033292F" w:rsidP="00781880">
            <w:pPr>
              <w:rPr>
                <w:b/>
                <w:sz w:val="24"/>
                <w:szCs w:val="24"/>
              </w:rPr>
            </w:pPr>
            <w:r>
              <w:rPr>
                <w:b/>
                <w:sz w:val="24"/>
                <w:szCs w:val="24"/>
              </w:rPr>
              <w:t>Who should participate?</w:t>
            </w:r>
          </w:p>
          <w:p w:rsidR="00781880" w:rsidRPr="00AC02F9" w:rsidRDefault="00781880" w:rsidP="00781880">
            <w:pPr>
              <w:rPr>
                <w:b/>
                <w:sz w:val="24"/>
                <w:szCs w:val="24"/>
              </w:rPr>
            </w:pPr>
          </w:p>
        </w:tc>
        <w:tc>
          <w:tcPr>
            <w:tcW w:w="8936" w:type="dxa"/>
            <w:gridSpan w:val="5"/>
          </w:tcPr>
          <w:p w:rsidR="00781880" w:rsidRDefault="00213F76" w:rsidP="00781880">
            <w:pPr>
              <w:jc w:val="both"/>
              <w:rPr>
                <w:i/>
                <w:sz w:val="24"/>
                <w:szCs w:val="24"/>
              </w:rPr>
            </w:pPr>
            <w:r>
              <w:rPr>
                <w:i/>
                <w:sz w:val="24"/>
                <w:szCs w:val="24"/>
              </w:rPr>
              <w:t xml:space="preserve">This group is </w:t>
            </w:r>
            <w:r w:rsidR="00B80EC3">
              <w:rPr>
                <w:i/>
                <w:sz w:val="24"/>
                <w:szCs w:val="24"/>
              </w:rPr>
              <w:t>designed</w:t>
            </w:r>
            <w:r>
              <w:rPr>
                <w:i/>
                <w:sz w:val="24"/>
                <w:szCs w:val="24"/>
              </w:rPr>
              <w:t xml:space="preserve"> for people who </w:t>
            </w:r>
            <w:r w:rsidR="00B80EC3">
              <w:rPr>
                <w:i/>
                <w:sz w:val="24"/>
                <w:szCs w:val="24"/>
              </w:rPr>
              <w:t>are considering a move to permanent supportive housing. They may have a history of living in adult homes or psychiatric centers for long periods of time.</w:t>
            </w:r>
          </w:p>
          <w:p w:rsidR="00781880" w:rsidRPr="00AE5EB1" w:rsidRDefault="00781880" w:rsidP="00781880">
            <w:pPr>
              <w:jc w:val="both"/>
              <w:rPr>
                <w:i/>
                <w:sz w:val="24"/>
                <w:szCs w:val="24"/>
              </w:rPr>
            </w:pPr>
          </w:p>
        </w:tc>
      </w:tr>
      <w:tr w:rsidR="002F5EB1" w:rsidTr="002A204D">
        <w:tc>
          <w:tcPr>
            <w:tcW w:w="2080" w:type="dxa"/>
            <w:gridSpan w:val="2"/>
          </w:tcPr>
          <w:p w:rsidR="002F5EB1" w:rsidRPr="00FF76C2" w:rsidRDefault="00E16E56" w:rsidP="002A204D">
            <w:pPr>
              <w:rPr>
                <w:b/>
                <w:sz w:val="24"/>
                <w:szCs w:val="24"/>
              </w:rPr>
            </w:pPr>
            <w:r w:rsidRPr="00FF76C2">
              <w:rPr>
                <w:b/>
                <w:sz w:val="24"/>
                <w:szCs w:val="24"/>
              </w:rPr>
              <w:t>Purpose</w:t>
            </w:r>
            <w:r w:rsidR="00781880" w:rsidRPr="00FF76C2">
              <w:rPr>
                <w:b/>
                <w:sz w:val="24"/>
                <w:szCs w:val="24"/>
              </w:rPr>
              <w:t>:</w:t>
            </w:r>
          </w:p>
          <w:p w:rsidR="00781880" w:rsidRPr="00AC02F9" w:rsidRDefault="00781880" w:rsidP="002A204D">
            <w:pPr>
              <w:rPr>
                <w:b/>
                <w:sz w:val="24"/>
                <w:szCs w:val="24"/>
              </w:rPr>
            </w:pPr>
          </w:p>
        </w:tc>
        <w:tc>
          <w:tcPr>
            <w:tcW w:w="8936" w:type="dxa"/>
            <w:gridSpan w:val="5"/>
          </w:tcPr>
          <w:p w:rsidR="002F5EB1" w:rsidRPr="00E16E56" w:rsidRDefault="00B80EC3" w:rsidP="00E16E56">
            <w:pPr>
              <w:rPr>
                <w:i/>
                <w:sz w:val="24"/>
                <w:szCs w:val="24"/>
              </w:rPr>
            </w:pPr>
            <w:r>
              <w:rPr>
                <w:i/>
                <w:sz w:val="24"/>
                <w:szCs w:val="24"/>
              </w:rPr>
              <w:t>Identifying values, skills and personal preferences when considering a move to permanent supportive housing.</w:t>
            </w:r>
          </w:p>
        </w:tc>
      </w:tr>
      <w:tr w:rsidR="00E16E56" w:rsidTr="00E16E56">
        <w:trPr>
          <w:trHeight w:val="602"/>
        </w:trPr>
        <w:tc>
          <w:tcPr>
            <w:tcW w:w="2080" w:type="dxa"/>
            <w:gridSpan w:val="2"/>
          </w:tcPr>
          <w:p w:rsidR="00E16E56" w:rsidRDefault="00E16E56" w:rsidP="002A204D">
            <w:pPr>
              <w:rPr>
                <w:b/>
                <w:sz w:val="24"/>
                <w:szCs w:val="24"/>
              </w:rPr>
            </w:pPr>
            <w:r>
              <w:rPr>
                <w:b/>
                <w:sz w:val="24"/>
                <w:szCs w:val="24"/>
              </w:rPr>
              <w:t>Class Objectives:</w:t>
            </w:r>
          </w:p>
        </w:tc>
        <w:tc>
          <w:tcPr>
            <w:tcW w:w="8936" w:type="dxa"/>
            <w:gridSpan w:val="5"/>
          </w:tcPr>
          <w:p w:rsidR="00E16E56" w:rsidRPr="00FF76C2" w:rsidRDefault="00B80EC3" w:rsidP="00B80EC3">
            <w:pPr>
              <w:rPr>
                <w:i/>
                <w:sz w:val="24"/>
                <w:szCs w:val="24"/>
              </w:rPr>
            </w:pPr>
            <w:r>
              <w:rPr>
                <w:i/>
                <w:sz w:val="24"/>
                <w:szCs w:val="24"/>
              </w:rPr>
              <w:t>Participants will identify their values and preferences when considering permanent supportive housing. They will learn about the supports available for people that ensure a successful transition to supportive housing. Participants will also visit a supportive housing apartment in the community to help adjust expectations when necessary.</w:t>
            </w:r>
          </w:p>
        </w:tc>
      </w:tr>
      <w:tr w:rsidR="002F5EB1" w:rsidTr="002A204D">
        <w:tc>
          <w:tcPr>
            <w:tcW w:w="2080" w:type="dxa"/>
            <w:gridSpan w:val="2"/>
          </w:tcPr>
          <w:p w:rsidR="002F5EB1" w:rsidRPr="00AC02F9" w:rsidRDefault="002F5EB1" w:rsidP="002A204D">
            <w:pPr>
              <w:rPr>
                <w:b/>
                <w:sz w:val="24"/>
                <w:szCs w:val="24"/>
              </w:rPr>
            </w:pPr>
            <w:r w:rsidRPr="00AC02F9">
              <w:rPr>
                <w:b/>
                <w:sz w:val="24"/>
                <w:szCs w:val="24"/>
              </w:rPr>
              <w:t>Source(s):</w:t>
            </w:r>
          </w:p>
        </w:tc>
        <w:tc>
          <w:tcPr>
            <w:tcW w:w="8936" w:type="dxa"/>
            <w:gridSpan w:val="5"/>
          </w:tcPr>
          <w:p w:rsidR="002F5EB1" w:rsidRDefault="00661A2D" w:rsidP="002A204D">
            <w:pPr>
              <w:rPr>
                <w:i/>
                <w:sz w:val="24"/>
                <w:szCs w:val="24"/>
              </w:rPr>
            </w:pPr>
            <w:r>
              <w:rPr>
                <w:i/>
                <w:sz w:val="24"/>
                <w:szCs w:val="24"/>
              </w:rPr>
              <w:t xml:space="preserve">Center for Mental Health Services, Substance Abuse and Mental Health Services Administration, U.S. Department of Health and Human Services, Tools for Tenants KIT </w:t>
            </w:r>
          </w:p>
          <w:p w:rsidR="002F5EB1" w:rsidRPr="00AE5EB1" w:rsidRDefault="002F5EB1" w:rsidP="002A204D">
            <w:pPr>
              <w:rPr>
                <w:i/>
                <w:sz w:val="24"/>
                <w:szCs w:val="24"/>
              </w:rPr>
            </w:pPr>
          </w:p>
        </w:tc>
      </w:tr>
    </w:tbl>
    <w:p w:rsidR="001E5EE4" w:rsidRPr="00162189" w:rsidRDefault="00FF76C2" w:rsidP="00162189">
      <w:pPr>
        <w:rPr>
          <w:sz w:val="28"/>
          <w:szCs w:val="28"/>
        </w:rPr>
      </w:pPr>
      <w:r w:rsidRPr="00FF76C2">
        <w:rPr>
          <w:sz w:val="28"/>
          <w:szCs w:val="28"/>
        </w:rPr>
        <w:t>Notes:</w:t>
      </w:r>
    </w:p>
    <w:p w:rsidR="002F5EB1" w:rsidRDefault="002F5EB1" w:rsidP="002F5EB1">
      <w:pPr>
        <w:jc w:val="center"/>
        <w:rPr>
          <w:i/>
          <w:sz w:val="28"/>
        </w:rPr>
      </w:pPr>
      <w:r>
        <w:rPr>
          <w:i/>
          <w:sz w:val="28"/>
        </w:rPr>
        <w:lastRenderedPageBreak/>
        <w:t>Table of Contents</w:t>
      </w:r>
    </w:p>
    <w:p w:rsidR="002F5EB1" w:rsidRDefault="002F5EB1" w:rsidP="002F5EB1">
      <w:pPr>
        <w:rPr>
          <w:i/>
          <w:sz w:val="24"/>
        </w:rPr>
      </w:pPr>
      <w:r w:rsidRPr="002F5EB1">
        <w:rPr>
          <w:i/>
          <w:sz w:val="24"/>
        </w:rPr>
        <w:t>Session 1:</w:t>
      </w:r>
      <w:r w:rsidR="00661A2D">
        <w:rPr>
          <w:i/>
          <w:sz w:val="24"/>
        </w:rPr>
        <w:t xml:space="preserve"> What is supportive housing?</w:t>
      </w:r>
    </w:p>
    <w:p w:rsidR="002F5EB1" w:rsidRPr="002F5EB1" w:rsidRDefault="002F5EB1" w:rsidP="002F5EB1">
      <w:pPr>
        <w:rPr>
          <w:i/>
          <w:sz w:val="24"/>
        </w:rPr>
      </w:pPr>
    </w:p>
    <w:p w:rsidR="002F5EB1" w:rsidRPr="002F5EB1" w:rsidRDefault="002F5EB1" w:rsidP="002F5EB1">
      <w:pPr>
        <w:rPr>
          <w:i/>
          <w:sz w:val="24"/>
        </w:rPr>
      </w:pPr>
      <w:r w:rsidRPr="002F5EB1">
        <w:rPr>
          <w:i/>
          <w:sz w:val="24"/>
        </w:rPr>
        <w:t>Session 2:</w:t>
      </w:r>
      <w:r w:rsidR="00661A2D">
        <w:rPr>
          <w:i/>
          <w:sz w:val="24"/>
        </w:rPr>
        <w:t xml:space="preserve"> Being able to afford living on your own</w:t>
      </w:r>
    </w:p>
    <w:p w:rsidR="002F5EB1" w:rsidRPr="002F5EB1" w:rsidRDefault="002F5EB1" w:rsidP="002F5EB1">
      <w:pPr>
        <w:rPr>
          <w:i/>
          <w:sz w:val="24"/>
        </w:rPr>
      </w:pPr>
    </w:p>
    <w:p w:rsidR="002F5EB1" w:rsidRPr="002F5EB1" w:rsidRDefault="002F5EB1" w:rsidP="002F5EB1">
      <w:pPr>
        <w:rPr>
          <w:i/>
          <w:sz w:val="24"/>
        </w:rPr>
      </w:pPr>
      <w:r w:rsidRPr="002F5EB1">
        <w:rPr>
          <w:i/>
          <w:sz w:val="24"/>
        </w:rPr>
        <w:t>Session 3:</w:t>
      </w:r>
      <w:r w:rsidR="00661A2D">
        <w:rPr>
          <w:i/>
          <w:sz w:val="24"/>
        </w:rPr>
        <w:t xml:space="preserve"> Identifying your housing preferences</w:t>
      </w:r>
    </w:p>
    <w:p w:rsidR="002F5EB1" w:rsidRPr="002F5EB1" w:rsidRDefault="002F5EB1" w:rsidP="002F5EB1">
      <w:pPr>
        <w:rPr>
          <w:i/>
          <w:sz w:val="24"/>
        </w:rPr>
      </w:pPr>
    </w:p>
    <w:p w:rsidR="002F5EB1" w:rsidRPr="002F5EB1" w:rsidRDefault="002F5EB1" w:rsidP="002F5EB1">
      <w:pPr>
        <w:rPr>
          <w:i/>
          <w:sz w:val="24"/>
        </w:rPr>
      </w:pPr>
      <w:r w:rsidRPr="002F5EB1">
        <w:rPr>
          <w:i/>
          <w:sz w:val="24"/>
        </w:rPr>
        <w:t>Session 4:</w:t>
      </w:r>
      <w:r w:rsidR="00661A2D">
        <w:rPr>
          <w:i/>
          <w:sz w:val="24"/>
        </w:rPr>
        <w:t xml:space="preserve"> Navigating the lease process</w:t>
      </w:r>
    </w:p>
    <w:p w:rsidR="002F5EB1" w:rsidRPr="002F5EB1" w:rsidRDefault="002F5EB1" w:rsidP="002F5EB1">
      <w:pPr>
        <w:rPr>
          <w:i/>
          <w:sz w:val="24"/>
        </w:rPr>
      </w:pPr>
    </w:p>
    <w:p w:rsidR="002F5EB1" w:rsidRPr="002F5EB1" w:rsidRDefault="002F5EB1" w:rsidP="002F5EB1">
      <w:pPr>
        <w:rPr>
          <w:i/>
          <w:sz w:val="24"/>
        </w:rPr>
      </w:pPr>
      <w:r w:rsidRPr="002F5EB1">
        <w:rPr>
          <w:i/>
          <w:sz w:val="24"/>
        </w:rPr>
        <w:t>Session 5:</w:t>
      </w:r>
      <w:r w:rsidR="00661A2D">
        <w:rPr>
          <w:i/>
          <w:sz w:val="24"/>
        </w:rPr>
        <w:t xml:space="preserve"> Who will support you when you move?</w:t>
      </w:r>
    </w:p>
    <w:p w:rsidR="002F5EB1" w:rsidRPr="002F5EB1" w:rsidRDefault="002F5EB1" w:rsidP="002F5EB1">
      <w:pPr>
        <w:rPr>
          <w:i/>
          <w:sz w:val="24"/>
        </w:rPr>
      </w:pPr>
    </w:p>
    <w:p w:rsidR="002F5EB1" w:rsidRPr="002F5EB1" w:rsidRDefault="002F5EB1" w:rsidP="002F5EB1">
      <w:pPr>
        <w:rPr>
          <w:i/>
          <w:sz w:val="24"/>
        </w:rPr>
      </w:pPr>
      <w:r w:rsidRPr="002F5EB1">
        <w:rPr>
          <w:i/>
          <w:sz w:val="24"/>
        </w:rPr>
        <w:t>Session 6:</w:t>
      </w:r>
      <w:r w:rsidR="00661A2D">
        <w:rPr>
          <w:i/>
          <w:sz w:val="24"/>
        </w:rPr>
        <w:t xml:space="preserve"> Being a good tenant</w:t>
      </w:r>
    </w:p>
    <w:p w:rsidR="002F5EB1" w:rsidRPr="002F5EB1" w:rsidRDefault="002F5EB1" w:rsidP="002F5EB1">
      <w:pPr>
        <w:rPr>
          <w:i/>
          <w:sz w:val="24"/>
        </w:rPr>
      </w:pPr>
    </w:p>
    <w:p w:rsidR="002F5EB1" w:rsidRPr="002F5EB1" w:rsidRDefault="002F5EB1" w:rsidP="002F5EB1">
      <w:pPr>
        <w:rPr>
          <w:i/>
          <w:sz w:val="24"/>
        </w:rPr>
      </w:pPr>
      <w:r w:rsidRPr="002F5EB1">
        <w:rPr>
          <w:i/>
          <w:sz w:val="24"/>
        </w:rPr>
        <w:t>Session 7:</w:t>
      </w:r>
      <w:r w:rsidR="00661A2D">
        <w:rPr>
          <w:i/>
          <w:sz w:val="24"/>
        </w:rPr>
        <w:t xml:space="preserve"> Knowing when to move on</w:t>
      </w:r>
    </w:p>
    <w:p w:rsidR="002F5EB1" w:rsidRPr="002F5EB1" w:rsidRDefault="002F5EB1" w:rsidP="002F5EB1">
      <w:pPr>
        <w:rPr>
          <w:i/>
          <w:sz w:val="24"/>
        </w:rPr>
      </w:pPr>
    </w:p>
    <w:p w:rsidR="002F5EB1" w:rsidRPr="002F5EB1" w:rsidRDefault="002F5EB1" w:rsidP="002F5EB1">
      <w:pPr>
        <w:rPr>
          <w:i/>
          <w:sz w:val="24"/>
        </w:rPr>
      </w:pPr>
      <w:r w:rsidRPr="002F5EB1">
        <w:rPr>
          <w:i/>
          <w:sz w:val="24"/>
        </w:rPr>
        <w:t>Session 8:</w:t>
      </w:r>
      <w:r w:rsidR="00661A2D">
        <w:rPr>
          <w:i/>
          <w:sz w:val="24"/>
        </w:rPr>
        <w:t xml:space="preserve"> Fair housing rights</w:t>
      </w:r>
    </w:p>
    <w:p w:rsidR="002F5EB1" w:rsidRPr="002F5EB1" w:rsidRDefault="002F5EB1" w:rsidP="002F5EB1">
      <w:pPr>
        <w:rPr>
          <w:i/>
          <w:sz w:val="24"/>
        </w:rPr>
      </w:pPr>
    </w:p>
    <w:p w:rsidR="009213DA" w:rsidRDefault="009213DA">
      <w:pPr>
        <w:rPr>
          <w:i/>
          <w:sz w:val="24"/>
        </w:rPr>
      </w:pPr>
    </w:p>
    <w:p w:rsidR="00162189" w:rsidRDefault="00162189">
      <w:pPr>
        <w:rPr>
          <w:b/>
          <w:spacing w:val="40"/>
          <w:sz w:val="24"/>
        </w:rPr>
      </w:pPr>
      <w:r>
        <w:rPr>
          <w:b/>
          <w:spacing w:val="40"/>
          <w:sz w:val="24"/>
        </w:rPr>
        <w:br w:type="page"/>
      </w:r>
    </w:p>
    <w:p w:rsidR="009213DA" w:rsidRDefault="009213DA" w:rsidP="00162189">
      <w:pPr>
        <w:jc w:val="center"/>
        <w:rPr>
          <w:b/>
          <w:spacing w:val="40"/>
          <w:sz w:val="24"/>
        </w:rPr>
      </w:pPr>
      <w:r w:rsidRPr="00D80B8F">
        <w:rPr>
          <w:b/>
          <w:spacing w:val="40"/>
          <w:sz w:val="24"/>
        </w:rPr>
        <w:lastRenderedPageBreak/>
        <w:t>Facilitator Practice Considerations</w:t>
      </w:r>
    </w:p>
    <w:p w:rsidR="008A4187" w:rsidRDefault="008A4187" w:rsidP="008A4187">
      <w:pPr>
        <w:spacing w:after="0"/>
        <w:rPr>
          <w:b/>
          <w:sz w:val="24"/>
          <w:szCs w:val="24"/>
          <w:u w:val="single"/>
        </w:rPr>
      </w:pPr>
    </w:p>
    <w:p w:rsidR="009213DA" w:rsidRPr="008A4187" w:rsidRDefault="009213DA" w:rsidP="008A4187">
      <w:pPr>
        <w:spacing w:after="0"/>
        <w:rPr>
          <w:b/>
          <w:sz w:val="24"/>
          <w:szCs w:val="24"/>
          <w:u w:val="single"/>
        </w:rPr>
      </w:pPr>
      <w:r w:rsidRPr="008A4187">
        <w:rPr>
          <w:b/>
          <w:sz w:val="24"/>
          <w:szCs w:val="24"/>
          <w:u w:val="single"/>
        </w:rPr>
        <w:t>ROPES METHOD</w:t>
      </w:r>
    </w:p>
    <w:p w:rsidR="008A4187" w:rsidRDefault="008A4187" w:rsidP="008A4187">
      <w:pPr>
        <w:rPr>
          <w:b/>
          <w:sz w:val="24"/>
          <w:szCs w:val="24"/>
        </w:rPr>
      </w:pPr>
    </w:p>
    <w:p w:rsidR="009213DA" w:rsidRPr="008A4187" w:rsidRDefault="009213DA" w:rsidP="008A4187">
      <w:pPr>
        <w:spacing w:line="360" w:lineRule="auto"/>
        <w:rPr>
          <w:sz w:val="24"/>
          <w:szCs w:val="24"/>
        </w:rPr>
      </w:pPr>
      <w:r w:rsidRPr="008A4187">
        <w:rPr>
          <w:b/>
          <w:sz w:val="24"/>
          <w:szCs w:val="24"/>
        </w:rPr>
        <w:t>Review</w:t>
      </w:r>
      <w:r w:rsidRPr="008A4187">
        <w:rPr>
          <w:sz w:val="24"/>
          <w:szCs w:val="24"/>
        </w:rPr>
        <w:t xml:space="preserve"> – This is the first step in ROPES.  Its purpose is to prepare individuals’ readiness for the class. This is done by having students relate to the topic you are about to teach (5-10 minutes)</w:t>
      </w:r>
    </w:p>
    <w:p w:rsidR="009213DA" w:rsidRPr="008A4187" w:rsidRDefault="009213DA" w:rsidP="008A4187">
      <w:pPr>
        <w:spacing w:line="360" w:lineRule="auto"/>
        <w:rPr>
          <w:sz w:val="24"/>
          <w:szCs w:val="24"/>
        </w:rPr>
      </w:pPr>
      <w:r w:rsidRPr="008A4187">
        <w:rPr>
          <w:b/>
          <w:sz w:val="24"/>
          <w:szCs w:val="24"/>
        </w:rPr>
        <w:t>Overview</w:t>
      </w:r>
      <w:r w:rsidRPr="008A4187">
        <w:rPr>
          <w:sz w:val="24"/>
          <w:szCs w:val="24"/>
        </w:rPr>
        <w:t xml:space="preserve"> – The purpose of the Overview is to inform students about the context and importance of the lesson.  A learning outcome and agenda should be included (2-5 minutes)</w:t>
      </w:r>
    </w:p>
    <w:p w:rsidR="009213DA" w:rsidRPr="008A4187" w:rsidRDefault="009213DA" w:rsidP="008A4187">
      <w:pPr>
        <w:spacing w:line="360" w:lineRule="auto"/>
        <w:rPr>
          <w:sz w:val="24"/>
          <w:szCs w:val="24"/>
        </w:rPr>
      </w:pPr>
      <w:r w:rsidRPr="008A4187">
        <w:rPr>
          <w:b/>
          <w:sz w:val="24"/>
          <w:szCs w:val="24"/>
        </w:rPr>
        <w:t xml:space="preserve">Presentation </w:t>
      </w:r>
      <w:r w:rsidRPr="008A4187">
        <w:rPr>
          <w:sz w:val="24"/>
          <w:szCs w:val="24"/>
        </w:rPr>
        <w:t>– The purpose of the Presentation is to impart the essential information needed to learn a new skill (15-20 minutes)</w:t>
      </w:r>
    </w:p>
    <w:p w:rsidR="009213DA" w:rsidRPr="008A4187" w:rsidRDefault="009213DA" w:rsidP="008A4187">
      <w:pPr>
        <w:spacing w:line="360" w:lineRule="auto"/>
        <w:rPr>
          <w:sz w:val="24"/>
          <w:szCs w:val="24"/>
        </w:rPr>
      </w:pPr>
      <w:r w:rsidRPr="008A4187">
        <w:rPr>
          <w:b/>
          <w:sz w:val="24"/>
          <w:szCs w:val="24"/>
        </w:rPr>
        <w:t xml:space="preserve">Exercise </w:t>
      </w:r>
      <w:r w:rsidRPr="008A4187">
        <w:rPr>
          <w:sz w:val="24"/>
          <w:szCs w:val="24"/>
        </w:rPr>
        <w:t>– The purpose of the Exercise is to have students perform and repeat the new skill.  Assign activities that require students to practice the new skill. The activity should be narrowly focused on the new skill only. Include all the characteristics of the new skill as presented in the previous step (15 minutes)</w:t>
      </w:r>
    </w:p>
    <w:p w:rsidR="00D80B8F" w:rsidRDefault="009213DA" w:rsidP="008A4187">
      <w:pPr>
        <w:pBdr>
          <w:bottom w:val="single" w:sz="12" w:space="1" w:color="auto"/>
        </w:pBdr>
        <w:spacing w:line="360" w:lineRule="auto"/>
        <w:rPr>
          <w:sz w:val="24"/>
          <w:szCs w:val="24"/>
        </w:rPr>
      </w:pPr>
      <w:r w:rsidRPr="008A4187">
        <w:rPr>
          <w:b/>
          <w:sz w:val="24"/>
          <w:szCs w:val="24"/>
        </w:rPr>
        <w:t>Summary</w:t>
      </w:r>
      <w:r w:rsidRPr="008A4187">
        <w:rPr>
          <w:sz w:val="24"/>
          <w:szCs w:val="24"/>
        </w:rPr>
        <w:t xml:space="preserve"> – The purpose of the Summary is to briefly reiterate what was covered in the lesson. This step brings the lesson to a close.  Cover the key points of the skill steps. Include the same characteristics of the skill that was used in the previous steps. No new information should be introduced here (2-5 minutes)</w:t>
      </w:r>
    </w:p>
    <w:p w:rsidR="008A4187" w:rsidRPr="008A4187" w:rsidRDefault="008A4187" w:rsidP="008A4187">
      <w:pPr>
        <w:pBdr>
          <w:bottom w:val="single" w:sz="12" w:space="1" w:color="auto"/>
        </w:pBdr>
        <w:rPr>
          <w:sz w:val="24"/>
          <w:szCs w:val="24"/>
        </w:rPr>
      </w:pPr>
    </w:p>
    <w:p w:rsidR="009213DA" w:rsidRPr="00722188" w:rsidRDefault="00722188">
      <w:pPr>
        <w:rPr>
          <w:b/>
          <w:sz w:val="24"/>
          <w:u w:val="single"/>
        </w:rPr>
      </w:pPr>
      <w:r w:rsidRPr="00722188">
        <w:rPr>
          <w:b/>
          <w:sz w:val="24"/>
          <w:u w:val="single"/>
        </w:rPr>
        <w:t>ARCH Principles</w:t>
      </w:r>
    </w:p>
    <w:p w:rsidR="00034622" w:rsidRDefault="00034622" w:rsidP="00034622">
      <w:pPr>
        <w:jc w:val="center"/>
        <w:rPr>
          <w:sz w:val="24"/>
        </w:rPr>
      </w:pPr>
      <w:r w:rsidRPr="00034622">
        <w:rPr>
          <w:noProof/>
          <w:sz w:val="24"/>
        </w:rPr>
        <w:drawing>
          <wp:inline distT="0" distB="0" distL="0" distR="0" wp14:anchorId="7C5EE41B" wp14:editId="5F61D4B2">
            <wp:extent cx="4276725" cy="2514600"/>
            <wp:effectExtent l="57150" t="0" r="666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34622" w:rsidRPr="00034622" w:rsidRDefault="00034622" w:rsidP="00034622">
      <w:pPr>
        <w:jc w:val="right"/>
        <w:rPr>
          <w:i/>
          <w:sz w:val="24"/>
        </w:rPr>
      </w:pPr>
      <w:proofErr w:type="spellStart"/>
      <w:r w:rsidRPr="00034622">
        <w:rPr>
          <w:i/>
          <w:sz w:val="24"/>
        </w:rPr>
        <w:t>Micucci</w:t>
      </w:r>
      <w:proofErr w:type="spellEnd"/>
      <w:r w:rsidRPr="00034622">
        <w:rPr>
          <w:i/>
          <w:sz w:val="24"/>
        </w:rPr>
        <w:t>, Joseph A. (2009)</w:t>
      </w:r>
    </w:p>
    <w:p w:rsidR="008A4187" w:rsidRDefault="008A4187" w:rsidP="00034622">
      <w:pPr>
        <w:pBdr>
          <w:top w:val="single" w:sz="24" w:space="1" w:color="auto"/>
        </w:pBdr>
        <w:rPr>
          <w:b/>
          <w:sz w:val="24"/>
          <w:u w:val="single"/>
        </w:rPr>
      </w:pPr>
    </w:p>
    <w:p w:rsidR="00722188" w:rsidRDefault="00722188" w:rsidP="00034622">
      <w:pPr>
        <w:pBdr>
          <w:top w:val="single" w:sz="24" w:space="1" w:color="auto"/>
        </w:pBdr>
        <w:rPr>
          <w:b/>
          <w:sz w:val="24"/>
          <w:u w:val="single"/>
        </w:rPr>
      </w:pPr>
      <w:r w:rsidRPr="00722188">
        <w:rPr>
          <w:b/>
          <w:sz w:val="24"/>
          <w:u w:val="single"/>
        </w:rPr>
        <w:t>Stages of Change</w:t>
      </w:r>
    </w:p>
    <w:p w:rsidR="008A4187" w:rsidRDefault="008A4187" w:rsidP="00034622">
      <w:pPr>
        <w:pBdr>
          <w:top w:val="single" w:sz="24" w:space="1" w:color="auto"/>
        </w:pBdr>
        <w:rPr>
          <w:b/>
          <w:sz w:val="24"/>
          <w:u w:val="single"/>
        </w:rPr>
      </w:pPr>
    </w:p>
    <w:p w:rsidR="008A4187" w:rsidRPr="00722188" w:rsidRDefault="008A4187" w:rsidP="00034622">
      <w:pPr>
        <w:pBdr>
          <w:top w:val="single" w:sz="24" w:space="1" w:color="auto"/>
        </w:pBdr>
        <w:rPr>
          <w:b/>
          <w:sz w:val="24"/>
          <w:u w:val="single"/>
        </w:rPr>
      </w:pPr>
    </w:p>
    <w:p w:rsidR="009213DA" w:rsidRDefault="008A4187">
      <w:pPr>
        <w:rPr>
          <w:i/>
          <w:sz w:val="24"/>
        </w:rPr>
      </w:pPr>
      <w:r>
        <w:rPr>
          <w:i/>
          <w:noProof/>
          <w:sz w:val="24"/>
        </w:rPr>
        <w:drawing>
          <wp:inline distT="0" distB="0" distL="0" distR="0">
            <wp:extent cx="6858000" cy="613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Change5.jpg"/>
                    <pic:cNvPicPr/>
                  </pic:nvPicPr>
                  <pic:blipFill>
                    <a:blip r:embed="rId15">
                      <a:extLst>
                        <a:ext uri="{28A0092B-C50C-407E-A947-70E740481C1C}">
                          <a14:useLocalDpi xmlns:a14="http://schemas.microsoft.com/office/drawing/2010/main" val="0"/>
                        </a:ext>
                      </a:extLst>
                    </a:blip>
                    <a:stretch>
                      <a:fillRect/>
                    </a:stretch>
                  </pic:blipFill>
                  <pic:spPr>
                    <a:xfrm>
                      <a:off x="0" y="0"/>
                      <a:ext cx="6858000" cy="6137910"/>
                    </a:xfrm>
                    <a:prstGeom prst="rect">
                      <a:avLst/>
                    </a:prstGeom>
                  </pic:spPr>
                </pic:pic>
              </a:graphicData>
            </a:graphic>
          </wp:inline>
        </w:drawing>
      </w:r>
    </w:p>
    <w:p w:rsidR="00034622" w:rsidRDefault="00034622">
      <w:pPr>
        <w:rPr>
          <w:noProof/>
          <w:sz w:val="24"/>
        </w:rPr>
      </w:pPr>
    </w:p>
    <w:p w:rsidR="009D278A" w:rsidRPr="00303F5F" w:rsidRDefault="009213DA" w:rsidP="00162189">
      <w:pPr>
        <w:rPr>
          <w:i/>
          <w:color w:val="FF0000"/>
          <w:sz w:val="24"/>
        </w:rPr>
      </w:pPr>
      <w:r>
        <w:rPr>
          <w:i/>
          <w:sz w:val="24"/>
        </w:rPr>
        <w:br w:type="page"/>
      </w:r>
    </w:p>
    <w:p w:rsidR="009D278A" w:rsidRPr="00303F5F" w:rsidRDefault="009D278A" w:rsidP="009D278A">
      <w:pPr>
        <w:rPr>
          <w:i/>
          <w:color w:val="FF0000"/>
          <w:sz w:val="24"/>
        </w:rPr>
      </w:pPr>
    </w:p>
    <w:sectPr w:rsidR="009D278A" w:rsidRPr="00303F5F" w:rsidSect="002F5EB1">
      <w:footerReference w:type="default" r:id="rId16"/>
      <w:headerReference w:type="first" r:id="rId1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56" w:rsidRDefault="00001E56" w:rsidP="002F5EB1">
      <w:pPr>
        <w:spacing w:after="0" w:line="240" w:lineRule="auto"/>
      </w:pPr>
      <w:r>
        <w:separator/>
      </w:r>
    </w:p>
  </w:endnote>
  <w:endnote w:type="continuationSeparator" w:id="0">
    <w:p w:rsidR="00001E56" w:rsidRDefault="00001E56" w:rsidP="002F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2867"/>
      <w:docPartObj>
        <w:docPartGallery w:val="Page Numbers (Bottom of Page)"/>
        <w:docPartUnique/>
      </w:docPartObj>
    </w:sdtPr>
    <w:sdtEndPr>
      <w:rPr>
        <w:noProof/>
      </w:rPr>
    </w:sdtEndPr>
    <w:sdtContent>
      <w:p w:rsidR="002F5EB1" w:rsidRDefault="002F5EB1">
        <w:pPr>
          <w:pStyle w:val="Footer"/>
          <w:jc w:val="center"/>
        </w:pPr>
        <w:r>
          <w:fldChar w:fldCharType="begin"/>
        </w:r>
        <w:r>
          <w:instrText xml:space="preserve"> PAGE   \* MERGEFORMAT </w:instrText>
        </w:r>
        <w:r>
          <w:fldChar w:fldCharType="separate"/>
        </w:r>
        <w:r w:rsidR="00162189">
          <w:rPr>
            <w:noProof/>
          </w:rPr>
          <w:t>2</w:t>
        </w:r>
        <w:r>
          <w:rPr>
            <w:noProof/>
          </w:rPr>
          <w:fldChar w:fldCharType="end"/>
        </w:r>
      </w:p>
    </w:sdtContent>
  </w:sdt>
  <w:p w:rsidR="002F5EB1" w:rsidRDefault="002F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56" w:rsidRDefault="00001E56" w:rsidP="002F5EB1">
      <w:pPr>
        <w:spacing w:after="0" w:line="240" w:lineRule="auto"/>
      </w:pPr>
      <w:r>
        <w:separator/>
      </w:r>
    </w:p>
  </w:footnote>
  <w:footnote w:type="continuationSeparator" w:id="0">
    <w:p w:rsidR="00001E56" w:rsidRDefault="00001E56" w:rsidP="002F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1" w:rsidRPr="001E5EE4" w:rsidRDefault="00D80B8F" w:rsidP="001E5EE4">
    <w:pPr>
      <w:pStyle w:val="Header"/>
      <w:jc w:val="center"/>
      <w:rPr>
        <w:b/>
        <w:i/>
        <w:color w:val="7030A0"/>
        <w:sz w:val="28"/>
        <w:szCs w:val="28"/>
      </w:rPr>
    </w:pPr>
    <w:r>
      <w:rPr>
        <w:b/>
        <w:i/>
        <w:sz w:val="28"/>
        <w:szCs w:val="28"/>
      </w:rPr>
      <w:t>Independent Living C</w:t>
    </w:r>
    <w:r w:rsidR="001E5EE4">
      <w:rPr>
        <w:b/>
        <w:i/>
        <w:sz w:val="28"/>
        <w:szCs w:val="28"/>
      </w:rPr>
      <w:t>urriculum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680"/>
    <w:multiLevelType w:val="hybridMultilevel"/>
    <w:tmpl w:val="6ED67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200C6"/>
    <w:multiLevelType w:val="hybridMultilevel"/>
    <w:tmpl w:val="21E8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21F3A"/>
    <w:multiLevelType w:val="hybridMultilevel"/>
    <w:tmpl w:val="61C06480"/>
    <w:lvl w:ilvl="0" w:tplc="13283D62">
      <w:start w:val="1"/>
      <w:numFmt w:val="bullet"/>
      <w:lvlText w:val="•"/>
      <w:lvlJc w:val="left"/>
      <w:pPr>
        <w:tabs>
          <w:tab w:val="num" w:pos="720"/>
        </w:tabs>
        <w:ind w:left="720" w:hanging="360"/>
      </w:pPr>
      <w:rPr>
        <w:rFonts w:ascii="Times New Roman" w:hAnsi="Times New Roman" w:hint="default"/>
      </w:rPr>
    </w:lvl>
    <w:lvl w:ilvl="1" w:tplc="32868884" w:tentative="1">
      <w:start w:val="1"/>
      <w:numFmt w:val="bullet"/>
      <w:lvlText w:val="•"/>
      <w:lvlJc w:val="left"/>
      <w:pPr>
        <w:tabs>
          <w:tab w:val="num" w:pos="1440"/>
        </w:tabs>
        <w:ind w:left="1440" w:hanging="360"/>
      </w:pPr>
      <w:rPr>
        <w:rFonts w:ascii="Times New Roman" w:hAnsi="Times New Roman" w:hint="default"/>
      </w:rPr>
    </w:lvl>
    <w:lvl w:ilvl="2" w:tplc="A7ACE2D8" w:tentative="1">
      <w:start w:val="1"/>
      <w:numFmt w:val="bullet"/>
      <w:lvlText w:val="•"/>
      <w:lvlJc w:val="left"/>
      <w:pPr>
        <w:tabs>
          <w:tab w:val="num" w:pos="2160"/>
        </w:tabs>
        <w:ind w:left="2160" w:hanging="360"/>
      </w:pPr>
      <w:rPr>
        <w:rFonts w:ascii="Times New Roman" w:hAnsi="Times New Roman" w:hint="default"/>
      </w:rPr>
    </w:lvl>
    <w:lvl w:ilvl="3" w:tplc="365CF47E" w:tentative="1">
      <w:start w:val="1"/>
      <w:numFmt w:val="bullet"/>
      <w:lvlText w:val="•"/>
      <w:lvlJc w:val="left"/>
      <w:pPr>
        <w:tabs>
          <w:tab w:val="num" w:pos="2880"/>
        </w:tabs>
        <w:ind w:left="2880" w:hanging="360"/>
      </w:pPr>
      <w:rPr>
        <w:rFonts w:ascii="Times New Roman" w:hAnsi="Times New Roman" w:hint="default"/>
      </w:rPr>
    </w:lvl>
    <w:lvl w:ilvl="4" w:tplc="091E0152" w:tentative="1">
      <w:start w:val="1"/>
      <w:numFmt w:val="bullet"/>
      <w:lvlText w:val="•"/>
      <w:lvlJc w:val="left"/>
      <w:pPr>
        <w:tabs>
          <w:tab w:val="num" w:pos="3600"/>
        </w:tabs>
        <w:ind w:left="3600" w:hanging="360"/>
      </w:pPr>
      <w:rPr>
        <w:rFonts w:ascii="Times New Roman" w:hAnsi="Times New Roman" w:hint="default"/>
      </w:rPr>
    </w:lvl>
    <w:lvl w:ilvl="5" w:tplc="E902A13C" w:tentative="1">
      <w:start w:val="1"/>
      <w:numFmt w:val="bullet"/>
      <w:lvlText w:val="•"/>
      <w:lvlJc w:val="left"/>
      <w:pPr>
        <w:tabs>
          <w:tab w:val="num" w:pos="4320"/>
        </w:tabs>
        <w:ind w:left="4320" w:hanging="360"/>
      </w:pPr>
      <w:rPr>
        <w:rFonts w:ascii="Times New Roman" w:hAnsi="Times New Roman" w:hint="default"/>
      </w:rPr>
    </w:lvl>
    <w:lvl w:ilvl="6" w:tplc="FCB080DC" w:tentative="1">
      <w:start w:val="1"/>
      <w:numFmt w:val="bullet"/>
      <w:lvlText w:val="•"/>
      <w:lvlJc w:val="left"/>
      <w:pPr>
        <w:tabs>
          <w:tab w:val="num" w:pos="5040"/>
        </w:tabs>
        <w:ind w:left="5040" w:hanging="360"/>
      </w:pPr>
      <w:rPr>
        <w:rFonts w:ascii="Times New Roman" w:hAnsi="Times New Roman" w:hint="default"/>
      </w:rPr>
    </w:lvl>
    <w:lvl w:ilvl="7" w:tplc="025A8E42" w:tentative="1">
      <w:start w:val="1"/>
      <w:numFmt w:val="bullet"/>
      <w:lvlText w:val="•"/>
      <w:lvlJc w:val="left"/>
      <w:pPr>
        <w:tabs>
          <w:tab w:val="num" w:pos="5760"/>
        </w:tabs>
        <w:ind w:left="5760" w:hanging="360"/>
      </w:pPr>
      <w:rPr>
        <w:rFonts w:ascii="Times New Roman" w:hAnsi="Times New Roman" w:hint="default"/>
      </w:rPr>
    </w:lvl>
    <w:lvl w:ilvl="8" w:tplc="2098B1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74A229D9"/>
    <w:multiLevelType w:val="hybridMultilevel"/>
    <w:tmpl w:val="0C14B274"/>
    <w:lvl w:ilvl="0" w:tplc="8750AED8">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1"/>
    <w:rsid w:val="00001E56"/>
    <w:rsid w:val="00034622"/>
    <w:rsid w:val="0004119C"/>
    <w:rsid w:val="00162189"/>
    <w:rsid w:val="00196528"/>
    <w:rsid w:val="001E5EE4"/>
    <w:rsid w:val="00213F76"/>
    <w:rsid w:val="00287851"/>
    <w:rsid w:val="002F5EB1"/>
    <w:rsid w:val="00303F5F"/>
    <w:rsid w:val="0033292F"/>
    <w:rsid w:val="004F6B1D"/>
    <w:rsid w:val="005A758C"/>
    <w:rsid w:val="00642E0B"/>
    <w:rsid w:val="00646119"/>
    <w:rsid w:val="00661A2D"/>
    <w:rsid w:val="00685770"/>
    <w:rsid w:val="00722188"/>
    <w:rsid w:val="00781880"/>
    <w:rsid w:val="008A4187"/>
    <w:rsid w:val="008F0FDD"/>
    <w:rsid w:val="009213DA"/>
    <w:rsid w:val="009727A6"/>
    <w:rsid w:val="009D278A"/>
    <w:rsid w:val="009F0E25"/>
    <w:rsid w:val="00A76167"/>
    <w:rsid w:val="00B24ED6"/>
    <w:rsid w:val="00B80EC3"/>
    <w:rsid w:val="00BB6593"/>
    <w:rsid w:val="00C005A5"/>
    <w:rsid w:val="00C25DCE"/>
    <w:rsid w:val="00D80B8F"/>
    <w:rsid w:val="00E16E56"/>
    <w:rsid w:val="00F748B2"/>
    <w:rsid w:val="00FA18DA"/>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GridTableLight">
    <w:name w:val="Grid Table Light"/>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GridTableLight">
    <w:name w:val="Grid Table Light"/>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60414">
      <w:bodyDiv w:val="1"/>
      <w:marLeft w:val="0"/>
      <w:marRight w:val="0"/>
      <w:marTop w:val="0"/>
      <w:marBottom w:val="0"/>
      <w:divBdr>
        <w:top w:val="none" w:sz="0" w:space="0" w:color="auto"/>
        <w:left w:val="none" w:sz="0" w:space="0" w:color="auto"/>
        <w:bottom w:val="none" w:sz="0" w:space="0" w:color="auto"/>
        <w:right w:val="none" w:sz="0" w:space="0" w:color="auto"/>
      </w:divBdr>
    </w:div>
    <w:div w:id="1270238988">
      <w:bodyDiv w:val="1"/>
      <w:marLeft w:val="0"/>
      <w:marRight w:val="0"/>
      <w:marTop w:val="0"/>
      <w:marBottom w:val="0"/>
      <w:divBdr>
        <w:top w:val="none" w:sz="0" w:space="0" w:color="auto"/>
        <w:left w:val="none" w:sz="0" w:space="0" w:color="auto"/>
        <w:bottom w:val="none" w:sz="0" w:space="0" w:color="auto"/>
        <w:right w:val="none" w:sz="0" w:space="0" w:color="auto"/>
      </w:divBdr>
      <w:divsChild>
        <w:div w:id="1476218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F2A80-D034-4BD4-8DAA-A35E4CD3B268}" type="doc">
      <dgm:prSet loTypeId="urn:diagrams.loki3.com/TabbedArc+Icon" loCatId="officeonline" qsTypeId="urn:microsoft.com/office/officeart/2005/8/quickstyle/3d1" qsCatId="3D" csTypeId="urn:microsoft.com/office/officeart/2005/8/colors/accent1_2" csCatId="accent1" phldr="1"/>
      <dgm:spPr/>
    </dgm:pt>
    <dgm:pt modelId="{8B982DBB-91D8-4893-91D4-6491714185ED}">
      <dgm:prSet phldrT="[Text]"/>
      <dgm:spPr/>
      <dgm:t>
        <a:bodyPr/>
        <a:lstStyle/>
        <a:p>
          <a:pPr algn="ctr"/>
          <a:r>
            <a:rPr lang="en-US" dirty="0" smtClean="0"/>
            <a:t>Acceptance</a:t>
          </a:r>
          <a:endParaRPr lang="en-US" dirty="0"/>
        </a:p>
      </dgm:t>
    </dgm:pt>
    <dgm:pt modelId="{BE7878BF-5EDA-4B38-B550-D340588F26CD}" type="parTrans" cxnId="{F60976C0-D151-4D6C-96E3-362A01263FF4}">
      <dgm:prSet/>
      <dgm:spPr/>
      <dgm:t>
        <a:bodyPr/>
        <a:lstStyle/>
        <a:p>
          <a:pPr algn="ctr"/>
          <a:endParaRPr lang="en-US"/>
        </a:p>
      </dgm:t>
    </dgm:pt>
    <dgm:pt modelId="{A0012CE6-365B-4751-9005-AC9AD370AFEA}" type="sibTrans" cxnId="{F60976C0-D151-4D6C-96E3-362A01263FF4}">
      <dgm:prSet/>
      <dgm:spPr/>
      <dgm:t>
        <a:bodyPr/>
        <a:lstStyle/>
        <a:p>
          <a:pPr algn="ctr"/>
          <a:endParaRPr lang="en-US"/>
        </a:p>
      </dgm:t>
    </dgm:pt>
    <dgm:pt modelId="{0DF3EC75-59C8-47F0-8CEF-6A105C0D10BD}">
      <dgm:prSet phldrT="[Text]"/>
      <dgm:spPr/>
      <dgm:t>
        <a:bodyPr/>
        <a:lstStyle/>
        <a:p>
          <a:pPr algn="ctr"/>
          <a:r>
            <a:rPr lang="en-US" dirty="0" smtClean="0"/>
            <a:t>Respect</a:t>
          </a:r>
          <a:endParaRPr lang="en-US" dirty="0"/>
        </a:p>
      </dgm:t>
    </dgm:pt>
    <dgm:pt modelId="{F91FD90C-4DD3-44D8-B486-78536DA3F86F}" type="parTrans" cxnId="{1E71D980-7DC7-4E57-B41A-BD13BF1C4185}">
      <dgm:prSet/>
      <dgm:spPr/>
      <dgm:t>
        <a:bodyPr/>
        <a:lstStyle/>
        <a:p>
          <a:pPr algn="ctr"/>
          <a:endParaRPr lang="en-US"/>
        </a:p>
      </dgm:t>
    </dgm:pt>
    <dgm:pt modelId="{722E9326-037B-43F2-A2DF-B80218D50FDA}" type="sibTrans" cxnId="{1E71D980-7DC7-4E57-B41A-BD13BF1C4185}">
      <dgm:prSet/>
      <dgm:spPr/>
      <dgm:t>
        <a:bodyPr/>
        <a:lstStyle/>
        <a:p>
          <a:pPr algn="ctr"/>
          <a:endParaRPr lang="en-US"/>
        </a:p>
      </dgm:t>
    </dgm:pt>
    <dgm:pt modelId="{A1BBD6FF-1E5A-4382-93A5-436752B5C78C}">
      <dgm:prSet phldrT="[Text]"/>
      <dgm:spPr/>
      <dgm:t>
        <a:bodyPr/>
        <a:lstStyle/>
        <a:p>
          <a:pPr algn="ctr"/>
          <a:r>
            <a:rPr lang="en-US" dirty="0" smtClean="0"/>
            <a:t>Curiosity</a:t>
          </a:r>
          <a:endParaRPr lang="en-US" dirty="0"/>
        </a:p>
      </dgm:t>
    </dgm:pt>
    <dgm:pt modelId="{C14F10C6-5089-4937-806A-E883657819D3}" type="parTrans" cxnId="{26B2AFC3-C773-40E5-8ECF-D928A829F9DB}">
      <dgm:prSet/>
      <dgm:spPr/>
      <dgm:t>
        <a:bodyPr/>
        <a:lstStyle/>
        <a:p>
          <a:pPr algn="ctr"/>
          <a:endParaRPr lang="en-US"/>
        </a:p>
      </dgm:t>
    </dgm:pt>
    <dgm:pt modelId="{67BBF500-FB5D-4335-82A7-04068DD10850}" type="sibTrans" cxnId="{26B2AFC3-C773-40E5-8ECF-D928A829F9DB}">
      <dgm:prSet/>
      <dgm:spPr/>
      <dgm:t>
        <a:bodyPr/>
        <a:lstStyle/>
        <a:p>
          <a:pPr algn="ctr"/>
          <a:endParaRPr lang="en-US"/>
        </a:p>
      </dgm:t>
    </dgm:pt>
    <dgm:pt modelId="{0322D1C5-316D-4BDC-8820-1F40B98D78A8}">
      <dgm:prSet phldrT="[Text]"/>
      <dgm:spPr/>
      <dgm:t>
        <a:bodyPr/>
        <a:lstStyle/>
        <a:p>
          <a:pPr algn="ctr"/>
          <a:r>
            <a:rPr lang="en-US" dirty="0" smtClean="0"/>
            <a:t>Honesty</a:t>
          </a:r>
          <a:endParaRPr lang="en-US" dirty="0"/>
        </a:p>
      </dgm:t>
    </dgm:pt>
    <dgm:pt modelId="{BDAD7B1E-3901-42C5-8DAE-DBED16961B37}" type="parTrans" cxnId="{B69285A0-2DD2-4969-B0DA-5E0A1F1AFC00}">
      <dgm:prSet/>
      <dgm:spPr/>
      <dgm:t>
        <a:bodyPr/>
        <a:lstStyle/>
        <a:p>
          <a:pPr algn="ctr"/>
          <a:endParaRPr lang="en-US"/>
        </a:p>
      </dgm:t>
    </dgm:pt>
    <dgm:pt modelId="{77135632-0660-4944-8DB9-C09D12420A3E}" type="sibTrans" cxnId="{B69285A0-2DD2-4969-B0DA-5E0A1F1AFC00}">
      <dgm:prSet/>
      <dgm:spPr/>
      <dgm:t>
        <a:bodyPr/>
        <a:lstStyle/>
        <a:p>
          <a:pPr algn="ctr"/>
          <a:endParaRPr lang="en-US"/>
        </a:p>
      </dgm:t>
    </dgm:pt>
    <dgm:pt modelId="{9E0537ED-D655-40BB-BBF3-E4CB52735A01}" type="pres">
      <dgm:prSet presAssocID="{E8EF2A80-D034-4BD4-8DAA-A35E4CD3B268}" presName="Name0" presStyleCnt="0">
        <dgm:presLayoutVars>
          <dgm:dir/>
          <dgm:resizeHandles val="exact"/>
        </dgm:presLayoutVars>
      </dgm:prSet>
      <dgm:spPr/>
    </dgm:pt>
    <dgm:pt modelId="{B1CCF842-DEFA-4B1E-9481-D3ECFC30D4B1}" type="pres">
      <dgm:prSet presAssocID="{8B982DBB-91D8-4893-91D4-6491714185ED}" presName="twoplus" presStyleLbl="node1" presStyleIdx="0" presStyleCnt="4">
        <dgm:presLayoutVars>
          <dgm:bulletEnabled val="1"/>
        </dgm:presLayoutVars>
      </dgm:prSet>
      <dgm:spPr/>
      <dgm:t>
        <a:bodyPr/>
        <a:lstStyle/>
        <a:p>
          <a:endParaRPr lang="en-US"/>
        </a:p>
      </dgm:t>
    </dgm:pt>
    <dgm:pt modelId="{F1019936-0AF2-4BD2-A5D7-E447F7D23797}" type="pres">
      <dgm:prSet presAssocID="{0DF3EC75-59C8-47F0-8CEF-6A105C0D10BD}" presName="twoplus" presStyleLbl="node1" presStyleIdx="1" presStyleCnt="4">
        <dgm:presLayoutVars>
          <dgm:bulletEnabled val="1"/>
        </dgm:presLayoutVars>
      </dgm:prSet>
      <dgm:spPr/>
      <dgm:t>
        <a:bodyPr/>
        <a:lstStyle/>
        <a:p>
          <a:endParaRPr lang="en-US"/>
        </a:p>
      </dgm:t>
    </dgm:pt>
    <dgm:pt modelId="{8EAE8FCA-A35D-4E6D-B29F-118FE58BDB52}" type="pres">
      <dgm:prSet presAssocID="{A1BBD6FF-1E5A-4382-93A5-436752B5C78C}" presName="twoplus" presStyleLbl="node1" presStyleIdx="2" presStyleCnt="4">
        <dgm:presLayoutVars>
          <dgm:bulletEnabled val="1"/>
        </dgm:presLayoutVars>
      </dgm:prSet>
      <dgm:spPr/>
      <dgm:t>
        <a:bodyPr/>
        <a:lstStyle/>
        <a:p>
          <a:endParaRPr lang="en-US"/>
        </a:p>
      </dgm:t>
    </dgm:pt>
    <dgm:pt modelId="{DEAD5717-2DF2-4443-BDFD-3C85B88942C9}" type="pres">
      <dgm:prSet presAssocID="{0322D1C5-316D-4BDC-8820-1F40B98D78A8}" presName="twoplus" presStyleLbl="node1" presStyleIdx="3" presStyleCnt="4">
        <dgm:presLayoutVars>
          <dgm:bulletEnabled val="1"/>
        </dgm:presLayoutVars>
      </dgm:prSet>
      <dgm:spPr/>
      <dgm:t>
        <a:bodyPr/>
        <a:lstStyle/>
        <a:p>
          <a:endParaRPr lang="en-US"/>
        </a:p>
      </dgm:t>
    </dgm:pt>
  </dgm:ptLst>
  <dgm:cxnLst>
    <dgm:cxn modelId="{1E71D980-7DC7-4E57-B41A-BD13BF1C4185}" srcId="{E8EF2A80-D034-4BD4-8DAA-A35E4CD3B268}" destId="{0DF3EC75-59C8-47F0-8CEF-6A105C0D10BD}" srcOrd="1" destOrd="0" parTransId="{F91FD90C-4DD3-44D8-B486-78536DA3F86F}" sibTransId="{722E9326-037B-43F2-A2DF-B80218D50FDA}"/>
    <dgm:cxn modelId="{26B2AFC3-C773-40E5-8ECF-D928A829F9DB}" srcId="{E8EF2A80-D034-4BD4-8DAA-A35E4CD3B268}" destId="{A1BBD6FF-1E5A-4382-93A5-436752B5C78C}" srcOrd="2" destOrd="0" parTransId="{C14F10C6-5089-4937-806A-E883657819D3}" sibTransId="{67BBF500-FB5D-4335-82A7-04068DD10850}"/>
    <dgm:cxn modelId="{D691AB7C-E8A2-41FC-9B7E-A9E5ADF14C16}" type="presOf" srcId="{A1BBD6FF-1E5A-4382-93A5-436752B5C78C}" destId="{8EAE8FCA-A35D-4E6D-B29F-118FE58BDB52}" srcOrd="0" destOrd="0" presId="urn:diagrams.loki3.com/TabbedArc+Icon"/>
    <dgm:cxn modelId="{213BDF26-14AE-41BE-8A5F-5930714C298F}" type="presOf" srcId="{8B982DBB-91D8-4893-91D4-6491714185ED}" destId="{B1CCF842-DEFA-4B1E-9481-D3ECFC30D4B1}" srcOrd="0" destOrd="0" presId="urn:diagrams.loki3.com/TabbedArc+Icon"/>
    <dgm:cxn modelId="{0C3B0A98-E893-49E8-8255-6474593486CB}" type="presOf" srcId="{E8EF2A80-D034-4BD4-8DAA-A35E4CD3B268}" destId="{9E0537ED-D655-40BB-BBF3-E4CB52735A01}" srcOrd="0" destOrd="0" presId="urn:diagrams.loki3.com/TabbedArc+Icon"/>
    <dgm:cxn modelId="{F60976C0-D151-4D6C-96E3-362A01263FF4}" srcId="{E8EF2A80-D034-4BD4-8DAA-A35E4CD3B268}" destId="{8B982DBB-91D8-4893-91D4-6491714185ED}" srcOrd="0" destOrd="0" parTransId="{BE7878BF-5EDA-4B38-B550-D340588F26CD}" sibTransId="{A0012CE6-365B-4751-9005-AC9AD370AFEA}"/>
    <dgm:cxn modelId="{0636DB50-A7FD-49AF-B224-669E6400AF1D}" type="presOf" srcId="{0DF3EC75-59C8-47F0-8CEF-6A105C0D10BD}" destId="{F1019936-0AF2-4BD2-A5D7-E447F7D23797}" srcOrd="0" destOrd="0" presId="urn:diagrams.loki3.com/TabbedArc+Icon"/>
    <dgm:cxn modelId="{8A13B8C8-580C-41C7-B77B-55649B183E9B}" type="presOf" srcId="{0322D1C5-316D-4BDC-8820-1F40B98D78A8}" destId="{DEAD5717-2DF2-4443-BDFD-3C85B88942C9}" srcOrd="0" destOrd="0" presId="urn:diagrams.loki3.com/TabbedArc+Icon"/>
    <dgm:cxn modelId="{B69285A0-2DD2-4969-B0DA-5E0A1F1AFC00}" srcId="{E8EF2A80-D034-4BD4-8DAA-A35E4CD3B268}" destId="{0322D1C5-316D-4BDC-8820-1F40B98D78A8}" srcOrd="3" destOrd="0" parTransId="{BDAD7B1E-3901-42C5-8DAE-DBED16961B37}" sibTransId="{77135632-0660-4944-8DB9-C09D12420A3E}"/>
    <dgm:cxn modelId="{52249C46-4475-49B9-97AA-A8E4E956BDC4}" type="presParOf" srcId="{9E0537ED-D655-40BB-BBF3-E4CB52735A01}" destId="{B1CCF842-DEFA-4B1E-9481-D3ECFC30D4B1}" srcOrd="0" destOrd="0" presId="urn:diagrams.loki3.com/TabbedArc+Icon"/>
    <dgm:cxn modelId="{9B0473EB-F4DF-49EE-A207-ED2A5E0F6B92}" type="presParOf" srcId="{9E0537ED-D655-40BB-BBF3-E4CB52735A01}" destId="{F1019936-0AF2-4BD2-A5D7-E447F7D23797}" srcOrd="1" destOrd="0" presId="urn:diagrams.loki3.com/TabbedArc+Icon"/>
    <dgm:cxn modelId="{338F5180-4DF7-4356-9BCF-F74B57C3BD8E}" type="presParOf" srcId="{9E0537ED-D655-40BB-BBF3-E4CB52735A01}" destId="{8EAE8FCA-A35D-4E6D-B29F-118FE58BDB52}" srcOrd="2" destOrd="0" presId="urn:diagrams.loki3.com/TabbedArc+Icon"/>
    <dgm:cxn modelId="{EAAB4C7E-2B68-4986-AF12-B015B5372F43}" type="presParOf" srcId="{9E0537ED-D655-40BB-BBF3-E4CB52735A01}" destId="{DEAD5717-2DF2-4443-BDFD-3C85B88942C9}" srcOrd="3" destOrd="0" presId="urn:diagrams.loki3.com/TabbedArc+Icon"/>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CF842-DEFA-4B1E-9481-D3ECFC30D4B1}">
      <dsp:nvSpPr>
        <dsp:cNvPr id="0" name=""/>
        <dsp:cNvSpPr/>
      </dsp:nvSpPr>
      <dsp:spPr>
        <a:xfrm rot="18000000">
          <a:off x="512"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Acceptance</a:t>
          </a:r>
          <a:endParaRPr lang="en-US" sz="1500" kern="1200" dirty="0"/>
        </a:p>
      </dsp:txBody>
      <dsp:txXfrm>
        <a:off x="50077" y="1333317"/>
        <a:ext cx="1020887" cy="673953"/>
      </dsp:txXfrm>
    </dsp:sp>
    <dsp:sp modelId="{F1019936-0AF2-4BD2-A5D7-E447F7D23797}">
      <dsp:nvSpPr>
        <dsp:cNvPr id="0" name=""/>
        <dsp:cNvSpPr/>
      </dsp:nvSpPr>
      <dsp:spPr>
        <a:xfrm rot="20400000">
          <a:off x="964277"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Respect</a:t>
          </a:r>
          <a:endParaRPr lang="en-US" sz="1500" kern="1200" dirty="0"/>
        </a:p>
      </dsp:txBody>
      <dsp:txXfrm>
        <a:off x="1004780" y="532226"/>
        <a:ext cx="1020887" cy="673953"/>
      </dsp:txXfrm>
    </dsp:sp>
    <dsp:sp modelId="{8EAE8FCA-A35D-4E6D-B29F-118FE58BDB52}">
      <dsp:nvSpPr>
        <dsp:cNvPr id="0" name=""/>
        <dsp:cNvSpPr/>
      </dsp:nvSpPr>
      <dsp:spPr>
        <a:xfrm rot="1200000">
          <a:off x="2222383"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Curiosity</a:t>
          </a:r>
          <a:endParaRPr lang="en-US" sz="1500" kern="1200" dirty="0"/>
        </a:p>
      </dsp:txBody>
      <dsp:txXfrm>
        <a:off x="2251056" y="532226"/>
        <a:ext cx="1020887" cy="673953"/>
      </dsp:txXfrm>
    </dsp:sp>
    <dsp:sp modelId="{DEAD5717-2DF2-4443-BDFD-3C85B88942C9}">
      <dsp:nvSpPr>
        <dsp:cNvPr id="0" name=""/>
        <dsp:cNvSpPr/>
      </dsp:nvSpPr>
      <dsp:spPr>
        <a:xfrm rot="3600000">
          <a:off x="3186148"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Honesty</a:t>
          </a:r>
          <a:endParaRPr lang="en-US" sz="1500" kern="1200" dirty="0"/>
        </a:p>
      </dsp:txBody>
      <dsp:txXfrm>
        <a:off x="3205759" y="1333317"/>
        <a:ext cx="1020887" cy="673953"/>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0D6B2-4FED-442E-84BA-A4CF58BA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Kathrynn (OMH)</dc:creator>
  <cp:lastModifiedBy>Ruth Colón-Wagner</cp:lastModifiedBy>
  <cp:revision>2</cp:revision>
  <dcterms:created xsi:type="dcterms:W3CDTF">2017-08-21T13:36:00Z</dcterms:created>
  <dcterms:modified xsi:type="dcterms:W3CDTF">2017-08-21T13:36:00Z</dcterms:modified>
</cp:coreProperties>
</file>